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28A4" w14:textId="77777777" w:rsidR="00227167" w:rsidRDefault="00227167" w:rsidP="004D5593">
      <w:pPr>
        <w:rPr>
          <w:rFonts w:cstheme="minorHAnsi"/>
        </w:rPr>
      </w:pPr>
    </w:p>
    <w:p w14:paraId="7552F644" w14:textId="148F1112" w:rsidR="00B9235C" w:rsidRPr="00B9235C" w:rsidRDefault="00B9235C" w:rsidP="004D5593">
      <w:pPr>
        <w:rPr>
          <w:rFonts w:cstheme="minorHAnsi"/>
        </w:rPr>
      </w:pPr>
      <w:r w:rsidRPr="00B9235C">
        <w:rPr>
          <w:rFonts w:cstheme="minorHAnsi"/>
        </w:rPr>
        <w:t>April 10, 2023</w:t>
      </w:r>
    </w:p>
    <w:p w14:paraId="0E4ADBEC" w14:textId="77777777" w:rsidR="00B9235C" w:rsidRDefault="00B9235C" w:rsidP="004D5593">
      <w:pPr>
        <w:rPr>
          <w:rFonts w:ascii="Times New Roman" w:hAnsi="Times New Roman" w:cs="Times New Roman"/>
          <w:sz w:val="22"/>
          <w:szCs w:val="22"/>
        </w:rPr>
      </w:pPr>
    </w:p>
    <w:p w14:paraId="0EAE49F3" w14:textId="77777777" w:rsidR="00B9235C" w:rsidRPr="00362D81" w:rsidRDefault="00B9235C" w:rsidP="00B9235C">
      <w:pPr>
        <w:contextualSpacing/>
        <w:rPr>
          <w:rFonts w:cstheme="minorHAnsi"/>
        </w:rPr>
      </w:pPr>
      <w:r w:rsidRPr="00362D81">
        <w:rPr>
          <w:rFonts w:cstheme="minorHAnsi"/>
        </w:rPr>
        <w:t>Public Comments Processing</w:t>
      </w:r>
    </w:p>
    <w:p w14:paraId="4F57B82F" w14:textId="77777777" w:rsidR="00B9235C" w:rsidRPr="00362D81" w:rsidRDefault="00B9235C" w:rsidP="00B9235C">
      <w:pPr>
        <w:contextualSpacing/>
        <w:rPr>
          <w:rFonts w:cstheme="minorHAnsi"/>
        </w:rPr>
      </w:pPr>
      <w:r w:rsidRPr="00362D81">
        <w:rPr>
          <w:rFonts w:cstheme="minorHAnsi"/>
        </w:rPr>
        <w:t>ATTN: FWS-HQ-ES-2021-0152</w:t>
      </w:r>
    </w:p>
    <w:p w14:paraId="7341B2CC" w14:textId="77777777" w:rsidR="00B9235C" w:rsidRPr="00362D81" w:rsidRDefault="00B9235C" w:rsidP="00B9235C">
      <w:pPr>
        <w:contextualSpacing/>
        <w:rPr>
          <w:rFonts w:cstheme="minorHAnsi"/>
        </w:rPr>
      </w:pPr>
      <w:r w:rsidRPr="00362D81">
        <w:rPr>
          <w:rFonts w:cstheme="minorHAnsi"/>
        </w:rPr>
        <w:t>US Fish and Wildlife Service   MS:PRB/3W</w:t>
      </w:r>
    </w:p>
    <w:p w14:paraId="3A752024" w14:textId="77777777" w:rsidR="00B9235C" w:rsidRPr="00362D81" w:rsidRDefault="00B9235C" w:rsidP="00B9235C">
      <w:pPr>
        <w:contextualSpacing/>
        <w:rPr>
          <w:rFonts w:cstheme="minorHAnsi"/>
        </w:rPr>
      </w:pPr>
      <w:r w:rsidRPr="00362D81">
        <w:rPr>
          <w:rFonts w:cstheme="minorHAnsi"/>
        </w:rPr>
        <w:t>5275 Leesburg Pike</w:t>
      </w:r>
    </w:p>
    <w:p w14:paraId="3A5ECB70" w14:textId="77777777" w:rsidR="00B9235C" w:rsidRPr="00362D81" w:rsidRDefault="00B9235C" w:rsidP="00B9235C">
      <w:pPr>
        <w:contextualSpacing/>
        <w:rPr>
          <w:rFonts w:cstheme="minorHAnsi"/>
        </w:rPr>
      </w:pPr>
      <w:r w:rsidRPr="00362D81">
        <w:rPr>
          <w:rFonts w:cstheme="minorHAnsi"/>
        </w:rPr>
        <w:t>Falls Church, VA 22041-3803</w:t>
      </w:r>
    </w:p>
    <w:p w14:paraId="61AF50AA" w14:textId="77777777" w:rsidR="00B9235C" w:rsidRPr="00362D81" w:rsidRDefault="00B9235C" w:rsidP="00B9235C">
      <w:pPr>
        <w:contextualSpacing/>
        <w:rPr>
          <w:rFonts w:cstheme="minorHAnsi"/>
        </w:rPr>
      </w:pPr>
    </w:p>
    <w:p w14:paraId="1DB686D1" w14:textId="6B114075" w:rsidR="00B9235C" w:rsidRPr="00362D81" w:rsidRDefault="00B9235C" w:rsidP="00B9235C">
      <w:pPr>
        <w:contextualSpacing/>
        <w:rPr>
          <w:rFonts w:cstheme="minorHAnsi"/>
        </w:rPr>
      </w:pPr>
      <w:r w:rsidRPr="00362D81">
        <w:rPr>
          <w:rFonts w:cstheme="minorHAnsi"/>
        </w:rPr>
        <w:t>Dear Sir/Madam:</w:t>
      </w:r>
    </w:p>
    <w:p w14:paraId="7E5EB978" w14:textId="77777777" w:rsidR="00B9235C" w:rsidRPr="00362D81" w:rsidRDefault="00B9235C" w:rsidP="00B9235C">
      <w:pPr>
        <w:contextualSpacing/>
        <w:rPr>
          <w:rFonts w:cstheme="minorHAnsi"/>
        </w:rPr>
      </w:pPr>
    </w:p>
    <w:p w14:paraId="12FE1D9E" w14:textId="77777777" w:rsidR="00B9235C" w:rsidRPr="00362D81" w:rsidRDefault="00B9235C" w:rsidP="00B9235C">
      <w:pPr>
        <w:contextualSpacing/>
        <w:jc w:val="both"/>
        <w:rPr>
          <w:rFonts w:cstheme="minorHAnsi"/>
        </w:rPr>
      </w:pPr>
      <w:r w:rsidRPr="00362D81">
        <w:rPr>
          <w:rFonts w:cstheme="minorHAnsi"/>
        </w:rPr>
        <w:t>The National Association of State Foresters (NASF) is pleased to provide comments on proposed changes to rules that implement the Endangered Species Act (ESA). Specifically, these proposed changes are intended to simplify and clarify the procedures for issuing Enhancement of Survival Permits (ESPs) and Incidental Take Permits (ITPs).</w:t>
      </w:r>
    </w:p>
    <w:p w14:paraId="39C2F4F7" w14:textId="77777777" w:rsidR="00B9235C" w:rsidRPr="00362D81" w:rsidRDefault="00B9235C" w:rsidP="00B9235C">
      <w:pPr>
        <w:contextualSpacing/>
        <w:jc w:val="both"/>
        <w:rPr>
          <w:rFonts w:cstheme="minorHAnsi"/>
        </w:rPr>
      </w:pPr>
    </w:p>
    <w:p w14:paraId="0AE754D5" w14:textId="77777777" w:rsidR="00CB077C" w:rsidRDefault="00B9235C" w:rsidP="00B9235C">
      <w:pPr>
        <w:contextualSpacing/>
        <w:jc w:val="both"/>
        <w:rPr>
          <w:rFonts w:cstheme="minorHAnsi"/>
        </w:rPr>
      </w:pPr>
      <w:r w:rsidRPr="00362D81">
        <w:rPr>
          <w:rFonts w:cstheme="minorHAnsi"/>
        </w:rPr>
        <w:t>NASF represents the directors of the forestry agencies in all 50 states,</w:t>
      </w:r>
      <w:r w:rsidRPr="00362D81">
        <w:rPr>
          <w:rFonts w:cstheme="minorHAnsi"/>
          <w:shd w:val="clear" w:color="auto" w:fill="FFFFFF"/>
        </w:rPr>
        <w:t xml:space="preserve"> </w:t>
      </w:r>
      <w:r w:rsidRPr="00362D81">
        <w:rPr>
          <w:rFonts w:cstheme="minorHAnsi"/>
        </w:rPr>
        <w:t>five U.S. territories, three nations in compacts of free association with the U.S., and the District of Columbia. Our members assist in the management and protection of state and privately-owned forests and are frequent cooperators in the management and protection of federally-owned lands.</w:t>
      </w:r>
    </w:p>
    <w:p w14:paraId="073C74E9" w14:textId="56E78507" w:rsidR="00B9235C" w:rsidRPr="00362D81" w:rsidRDefault="00B9235C" w:rsidP="00B9235C">
      <w:pPr>
        <w:contextualSpacing/>
        <w:jc w:val="both"/>
        <w:rPr>
          <w:rFonts w:cstheme="minorHAnsi"/>
        </w:rPr>
      </w:pPr>
      <w:r w:rsidRPr="00362D81">
        <w:rPr>
          <w:rFonts w:cstheme="minorHAnsi"/>
        </w:rPr>
        <w:t xml:space="preserve"> </w:t>
      </w:r>
    </w:p>
    <w:p w14:paraId="355DC591" w14:textId="77777777" w:rsidR="00B9235C" w:rsidRPr="00362D81" w:rsidRDefault="00B9235C" w:rsidP="00B9235C">
      <w:pPr>
        <w:pStyle w:val="Default"/>
        <w:spacing w:line="259" w:lineRule="auto"/>
        <w:jc w:val="both"/>
        <w:rPr>
          <w:rFonts w:asciiTheme="minorHAnsi" w:hAnsiTheme="minorHAnsi" w:cstheme="minorHAnsi"/>
        </w:rPr>
      </w:pPr>
      <w:r w:rsidRPr="00362D81">
        <w:rPr>
          <w:rFonts w:asciiTheme="minorHAnsi" w:hAnsiTheme="minorHAnsi" w:cstheme="minorHAnsi"/>
        </w:rPr>
        <w:t xml:space="preserve">NASF </w:t>
      </w:r>
      <w:r>
        <w:rPr>
          <w:rFonts w:asciiTheme="minorHAnsi" w:hAnsiTheme="minorHAnsi" w:cstheme="minorHAnsi"/>
        </w:rPr>
        <w:t>remains ardent in our support of</w:t>
      </w:r>
      <w:r w:rsidRPr="00362D81">
        <w:rPr>
          <w:rFonts w:asciiTheme="minorHAnsi" w:hAnsiTheme="minorHAnsi" w:cstheme="minorHAnsi"/>
        </w:rPr>
        <w:t xml:space="preserve"> the ESA’s goal of protecting threatened and endangered species.</w:t>
      </w:r>
      <w:r>
        <w:rPr>
          <w:rFonts w:asciiTheme="minorHAnsi" w:hAnsiTheme="minorHAnsi" w:cstheme="minorHAnsi"/>
        </w:rPr>
        <w:t xml:space="preserve"> As </w:t>
      </w:r>
      <w:r w:rsidRPr="00362D81">
        <w:rPr>
          <w:rFonts w:asciiTheme="minorHAnsi" w:hAnsiTheme="minorHAnsi" w:cstheme="minorHAnsi"/>
        </w:rPr>
        <w:t xml:space="preserve">many of the </w:t>
      </w:r>
      <w:r>
        <w:rPr>
          <w:rFonts w:asciiTheme="minorHAnsi" w:hAnsiTheme="minorHAnsi" w:cstheme="minorHAnsi"/>
        </w:rPr>
        <w:t xml:space="preserve">species </w:t>
      </w:r>
      <w:r w:rsidRPr="00362D81">
        <w:rPr>
          <w:rFonts w:asciiTheme="minorHAnsi" w:hAnsiTheme="minorHAnsi" w:cstheme="minorHAnsi"/>
        </w:rPr>
        <w:t xml:space="preserve">conserved </w:t>
      </w:r>
      <w:r>
        <w:rPr>
          <w:rFonts w:asciiTheme="minorHAnsi" w:hAnsiTheme="minorHAnsi" w:cstheme="minorHAnsi"/>
        </w:rPr>
        <w:t>under</w:t>
      </w:r>
      <w:r w:rsidRPr="00362D81">
        <w:rPr>
          <w:rFonts w:asciiTheme="minorHAnsi" w:hAnsiTheme="minorHAnsi" w:cstheme="minorHAnsi"/>
        </w:rPr>
        <w:t xml:space="preserve"> ESA protections depend on forested landscapes</w:t>
      </w:r>
      <w:r>
        <w:rPr>
          <w:rFonts w:asciiTheme="minorHAnsi" w:hAnsiTheme="minorHAnsi" w:cstheme="minorHAnsi"/>
        </w:rPr>
        <w:t>, h</w:t>
      </w:r>
      <w:r w:rsidRPr="00362D81">
        <w:rPr>
          <w:rFonts w:asciiTheme="minorHAnsi" w:hAnsiTheme="minorHAnsi" w:cstheme="minorHAnsi"/>
        </w:rPr>
        <w:t xml:space="preserve">ow the ESA is interpreted and enforced can significantly affect how, and if, forests nationwide are appropriately managed. </w:t>
      </w:r>
    </w:p>
    <w:p w14:paraId="69712AFB" w14:textId="77777777" w:rsidR="00B9235C" w:rsidRPr="00362D81" w:rsidRDefault="00B9235C" w:rsidP="00B9235C">
      <w:pPr>
        <w:pStyle w:val="Default"/>
        <w:spacing w:line="259" w:lineRule="auto"/>
        <w:jc w:val="both"/>
        <w:rPr>
          <w:rFonts w:asciiTheme="minorHAnsi" w:hAnsiTheme="minorHAnsi" w:cstheme="minorHAnsi"/>
        </w:rPr>
      </w:pPr>
    </w:p>
    <w:p w14:paraId="358AE12F" w14:textId="77777777" w:rsidR="00B9235C" w:rsidRPr="00362D81" w:rsidRDefault="00B9235C" w:rsidP="00B9235C">
      <w:pPr>
        <w:contextualSpacing/>
        <w:jc w:val="both"/>
        <w:rPr>
          <w:rFonts w:cstheme="minorHAnsi"/>
        </w:rPr>
      </w:pPr>
      <w:r>
        <w:rPr>
          <w:rFonts w:cstheme="minorHAnsi"/>
        </w:rPr>
        <w:t xml:space="preserve">As a result, </w:t>
      </w:r>
      <w:r w:rsidRPr="00362D81">
        <w:rPr>
          <w:rFonts w:cstheme="minorHAnsi"/>
        </w:rPr>
        <w:t xml:space="preserve">NASF has a substantial interest in how ESA provisions are applied and what effects they have. NASF supports a modernized ESA that encourages greater cooperation, more efficient regulatory processes and a renewed emphasis on sound science in the management of threatened or endangered plants and animals. Forests and woodlands are </w:t>
      </w:r>
      <w:r>
        <w:rPr>
          <w:rFonts w:cstheme="minorHAnsi"/>
        </w:rPr>
        <w:t>key</w:t>
      </w:r>
      <w:r w:rsidRPr="00362D81">
        <w:rPr>
          <w:rFonts w:cstheme="minorHAnsi"/>
        </w:rPr>
        <w:t xml:space="preserve"> habitats for a host of species that occur on both public and private land</w:t>
      </w:r>
      <w:r>
        <w:rPr>
          <w:rFonts w:cstheme="minorHAnsi"/>
        </w:rPr>
        <w:t>,</w:t>
      </w:r>
      <w:r w:rsidRPr="00362D81">
        <w:rPr>
          <w:rFonts w:cstheme="minorHAnsi"/>
        </w:rPr>
        <w:t xml:space="preserve"> and the sustainable management of those properties can be heavily influenced by regulations promulgated under ESA.</w:t>
      </w:r>
      <w:r>
        <w:rPr>
          <w:rFonts w:cstheme="minorHAnsi"/>
        </w:rPr>
        <w:t xml:space="preserve"> </w:t>
      </w:r>
      <w:r w:rsidRPr="00362D81">
        <w:t>ESA implementation can be improved without curtailing the conservation of threatened and endangered species.</w:t>
      </w:r>
      <w:r>
        <w:rPr>
          <w:sz w:val="23"/>
          <w:szCs w:val="23"/>
        </w:rPr>
        <w:t xml:space="preserve"> </w:t>
      </w:r>
      <w:r w:rsidRPr="00362D81">
        <w:rPr>
          <w:rFonts w:cstheme="minorHAnsi"/>
        </w:rPr>
        <w:t xml:space="preserve"> </w:t>
      </w:r>
    </w:p>
    <w:p w14:paraId="2BEDA789" w14:textId="77777777" w:rsidR="00B9235C" w:rsidRPr="00362D81" w:rsidRDefault="00B9235C" w:rsidP="00B9235C">
      <w:pPr>
        <w:contextualSpacing/>
        <w:jc w:val="both"/>
        <w:rPr>
          <w:rFonts w:cstheme="minorHAnsi"/>
        </w:rPr>
      </w:pPr>
    </w:p>
    <w:p w14:paraId="5740F5FB" w14:textId="77777777" w:rsidR="00B9235C" w:rsidRPr="00362D81" w:rsidRDefault="00B9235C" w:rsidP="00B9235C">
      <w:pPr>
        <w:contextualSpacing/>
        <w:jc w:val="both"/>
        <w:rPr>
          <w:rFonts w:cstheme="minorHAnsi"/>
        </w:rPr>
      </w:pPr>
      <w:r w:rsidRPr="00362D81">
        <w:rPr>
          <w:rFonts w:cstheme="minorHAnsi"/>
        </w:rPr>
        <w:t xml:space="preserve">We </w:t>
      </w:r>
      <w:r>
        <w:rPr>
          <w:rFonts w:cstheme="minorHAnsi"/>
        </w:rPr>
        <w:t>cite</w:t>
      </w:r>
      <w:r w:rsidRPr="00362D81">
        <w:rPr>
          <w:rFonts w:cstheme="minorHAnsi"/>
        </w:rPr>
        <w:t xml:space="preserve"> the issues identified below from NASF’s adopted position paper </w:t>
      </w:r>
      <w:r w:rsidRPr="00362D81">
        <w:rPr>
          <w:rFonts w:cstheme="minorHAnsi"/>
          <w:b/>
          <w:bCs/>
          <w:i/>
          <w:iCs/>
        </w:rPr>
        <w:t>Improving the Effectiveness of the Endangered Species Act, NASF 2020-003</w:t>
      </w:r>
      <w:r w:rsidRPr="00362D81">
        <w:rPr>
          <w:rFonts w:cstheme="minorHAnsi"/>
          <w:i/>
          <w:iCs/>
        </w:rPr>
        <w:t xml:space="preserve"> </w:t>
      </w:r>
      <w:r w:rsidRPr="00362D81">
        <w:rPr>
          <w:rFonts w:cstheme="minorHAnsi"/>
        </w:rPr>
        <w:t>(attached)</w:t>
      </w:r>
      <w:r>
        <w:rPr>
          <w:rFonts w:cstheme="minorHAnsi"/>
        </w:rPr>
        <w:t xml:space="preserve"> in reference to the subsequently provided recommendations.</w:t>
      </w:r>
    </w:p>
    <w:p w14:paraId="72297566" w14:textId="77777777" w:rsidR="00B9235C" w:rsidRPr="00362D81" w:rsidRDefault="00B9235C" w:rsidP="00B9235C">
      <w:pPr>
        <w:contextualSpacing/>
        <w:jc w:val="both"/>
        <w:rPr>
          <w:rFonts w:cstheme="minorHAnsi"/>
        </w:rPr>
      </w:pPr>
    </w:p>
    <w:p w14:paraId="2CD9BD7D" w14:textId="25A997F1" w:rsidR="00B9235C" w:rsidRPr="003A6148" w:rsidRDefault="00B9235C" w:rsidP="00B9235C">
      <w:pPr>
        <w:contextualSpacing/>
        <w:jc w:val="both"/>
        <w:rPr>
          <w:rFonts w:cstheme="minorHAnsi"/>
          <w:b/>
          <w:bCs/>
        </w:rPr>
      </w:pPr>
      <w:r w:rsidRPr="00362D81">
        <w:rPr>
          <w:rFonts w:cstheme="minorHAnsi"/>
          <w:b/>
          <w:bCs/>
        </w:rPr>
        <w:t>Cooperative Agreements</w:t>
      </w:r>
    </w:p>
    <w:p w14:paraId="38472C7E" w14:textId="77777777" w:rsidR="00B9235C" w:rsidRPr="00362D81" w:rsidRDefault="00B9235C" w:rsidP="00B9235C">
      <w:pPr>
        <w:spacing w:before="120" w:after="120"/>
        <w:ind w:left="360"/>
        <w:jc w:val="both"/>
        <w:rPr>
          <w:rFonts w:cstheme="minorHAnsi"/>
          <w:bCs/>
        </w:rPr>
      </w:pPr>
      <w:r w:rsidRPr="00362D81">
        <w:rPr>
          <w:rFonts w:cstheme="minorHAnsi"/>
          <w:b/>
        </w:rPr>
        <w:t>“ISSUE 4.1:</w:t>
      </w:r>
      <w:r w:rsidRPr="00362D81">
        <w:rPr>
          <w:rFonts w:cstheme="minorHAnsi"/>
        </w:rPr>
        <w:t xml:space="preserve"> To withstand legal challenges, habitat conservation plans (HCPs) and accompanying incidental take permits must be both legal documents and biological </w:t>
      </w:r>
      <w:r w:rsidRPr="00362D81">
        <w:rPr>
          <w:rFonts w:cstheme="minorHAnsi"/>
        </w:rPr>
        <w:lastRenderedPageBreak/>
        <w:t>dissertations. These burdensome requirements make these plans extremely costly and time consuming to develop.</w:t>
      </w:r>
      <w:r w:rsidRPr="00362D81">
        <w:rPr>
          <w:rFonts w:cstheme="minorHAnsi"/>
          <w:b/>
        </w:rPr>
        <w:t xml:space="preserve"> </w:t>
      </w:r>
      <w:r w:rsidRPr="00362D81">
        <w:rPr>
          <w:rFonts w:cstheme="minorHAnsi"/>
          <w:bCs/>
        </w:rPr>
        <w:t>Even more time and financial resources are required when cooperative agreements involve multiple species with some under the jurisdiction of USFWS and others under the jurisdiction of NOAA Fisheries.</w:t>
      </w:r>
    </w:p>
    <w:p w14:paraId="1D82AD93" w14:textId="77777777" w:rsidR="00B9235C" w:rsidRPr="00362D81" w:rsidRDefault="00B9235C" w:rsidP="00B9235C">
      <w:pPr>
        <w:spacing w:before="120" w:after="120"/>
        <w:ind w:left="360"/>
        <w:jc w:val="both"/>
        <w:rPr>
          <w:rFonts w:cstheme="minorHAnsi"/>
        </w:rPr>
      </w:pPr>
      <w:r w:rsidRPr="00362D81">
        <w:rPr>
          <w:rFonts w:cstheme="minorHAnsi"/>
          <w:b/>
        </w:rPr>
        <w:t>ISSUE 4.2:</w:t>
      </w:r>
      <w:r w:rsidRPr="00362D81">
        <w:rPr>
          <w:rFonts w:cstheme="minorHAnsi"/>
        </w:rPr>
        <w:t xml:space="preserve"> Cooperative agreements allowing state-level management and issuance of incidental take permits are very difficult to achieve.</w:t>
      </w:r>
      <w:r w:rsidRPr="00362D81">
        <w:rPr>
          <w:rFonts w:cstheme="minorHAnsi"/>
          <w:b/>
        </w:rPr>
        <w:t xml:space="preserve"> </w:t>
      </w:r>
    </w:p>
    <w:p w14:paraId="16EDC8B5" w14:textId="71D9CA93" w:rsidR="00667738" w:rsidRPr="00362D81" w:rsidRDefault="00B9235C" w:rsidP="003A6148">
      <w:pPr>
        <w:spacing w:before="120" w:after="120"/>
        <w:ind w:left="360"/>
        <w:jc w:val="both"/>
        <w:rPr>
          <w:rFonts w:cstheme="minorHAnsi"/>
          <w:bCs/>
        </w:rPr>
      </w:pPr>
      <w:r w:rsidRPr="00362D81">
        <w:rPr>
          <w:rFonts w:cstheme="minorHAnsi"/>
          <w:b/>
          <w:bCs/>
        </w:rPr>
        <w:t>ISSUE 4.3:</w:t>
      </w:r>
      <w:r w:rsidRPr="00362D81">
        <w:rPr>
          <w:rFonts w:cstheme="minorHAnsi"/>
          <w:bCs/>
        </w:rPr>
        <w:t xml:space="preserve"> There is little to motivate private landowners to participate in HCPs, Safe Harbor Agreements (SHAs), or Candidate Conservation Agreements with Assurances (CCAAs).”</w:t>
      </w:r>
    </w:p>
    <w:p w14:paraId="594D32CB" w14:textId="77777777" w:rsidR="00B9235C" w:rsidRPr="00362D81" w:rsidRDefault="00B9235C" w:rsidP="00B9235C">
      <w:pPr>
        <w:spacing w:before="120" w:after="120"/>
        <w:jc w:val="both"/>
      </w:pPr>
      <w:r w:rsidRPr="00362D81">
        <w:rPr>
          <w:rFonts w:cstheme="minorHAnsi"/>
          <w:b/>
          <w:bCs/>
        </w:rPr>
        <w:t>Recommendation:</w:t>
      </w:r>
    </w:p>
    <w:p w14:paraId="01A27E80" w14:textId="77777777" w:rsidR="00B9235C" w:rsidRPr="00500E47" w:rsidRDefault="00B9235C" w:rsidP="00B9235C">
      <w:pPr>
        <w:pStyle w:val="Default"/>
        <w:numPr>
          <w:ilvl w:val="0"/>
          <w:numId w:val="13"/>
        </w:numPr>
        <w:spacing w:line="259" w:lineRule="auto"/>
        <w:jc w:val="both"/>
        <w:rPr>
          <w:rFonts w:cstheme="minorHAnsi"/>
          <w:bCs/>
        </w:rPr>
      </w:pPr>
      <w:r w:rsidRPr="00362D81">
        <w:rPr>
          <w:rFonts w:asciiTheme="minorHAnsi" w:hAnsiTheme="minorHAnsi" w:cstheme="minorHAnsi"/>
        </w:rPr>
        <w:t xml:space="preserve">Create processes that motivate small landowner participation in cooperative agreements. </w:t>
      </w:r>
    </w:p>
    <w:p w14:paraId="51DBA56D" w14:textId="3B3982A6" w:rsidR="00B9235C" w:rsidRPr="00362D81" w:rsidRDefault="00B9235C" w:rsidP="00B9235C">
      <w:pPr>
        <w:spacing w:before="120" w:after="120"/>
        <w:jc w:val="both"/>
        <w:rPr>
          <w:rFonts w:cstheme="minorHAnsi"/>
        </w:rPr>
      </w:pPr>
      <w:r w:rsidRPr="00362D81">
        <w:rPr>
          <w:rFonts w:cstheme="minorHAnsi"/>
        </w:rPr>
        <w:t>With the</w:t>
      </w:r>
      <w:r>
        <w:rPr>
          <w:rFonts w:cstheme="minorHAnsi"/>
        </w:rPr>
        <w:t xml:space="preserve"> aforementioned</w:t>
      </w:r>
      <w:r w:rsidRPr="00362D81">
        <w:rPr>
          <w:rFonts w:cstheme="minorHAnsi"/>
        </w:rPr>
        <w:t xml:space="preserve"> issues in mind, changes that streamline the procedures related to ESPs and ITPs are welcome. Those suggested in the current proposed rulemaking should provide some incremental improvement. Specifically</w:t>
      </w:r>
      <w:r>
        <w:rPr>
          <w:rFonts w:cstheme="minorHAnsi"/>
        </w:rPr>
        <w:t xml:space="preserve">, the following revisions aim to </w:t>
      </w:r>
      <w:r w:rsidRPr="00362D81">
        <w:rPr>
          <w:rFonts w:cstheme="minorHAnsi"/>
        </w:rPr>
        <w:t>clarify and simplify processes</w:t>
      </w:r>
      <w:r>
        <w:rPr>
          <w:rFonts w:cstheme="minorHAnsi"/>
        </w:rPr>
        <w:t>, conceivably</w:t>
      </w:r>
      <w:r w:rsidRPr="00362D81">
        <w:rPr>
          <w:rFonts w:cstheme="minorHAnsi"/>
        </w:rPr>
        <w:t xml:space="preserve"> lower</w:t>
      </w:r>
      <w:r>
        <w:rPr>
          <w:rFonts w:cstheme="minorHAnsi"/>
        </w:rPr>
        <w:t>ing</w:t>
      </w:r>
      <w:r w:rsidRPr="00362D81">
        <w:rPr>
          <w:rFonts w:cstheme="minorHAnsi"/>
        </w:rPr>
        <w:t xml:space="preserve"> costs and encourag</w:t>
      </w:r>
      <w:r>
        <w:rPr>
          <w:rFonts w:cstheme="minorHAnsi"/>
        </w:rPr>
        <w:t>ing increased</w:t>
      </w:r>
      <w:r w:rsidRPr="00362D81">
        <w:rPr>
          <w:rFonts w:cstheme="minorHAnsi"/>
        </w:rPr>
        <w:t xml:space="preserve"> participation:</w:t>
      </w:r>
    </w:p>
    <w:p w14:paraId="726637E3" w14:textId="77777777" w:rsidR="00B9235C" w:rsidRPr="00AD2627" w:rsidRDefault="00B9235C" w:rsidP="00B9235C">
      <w:pPr>
        <w:pStyle w:val="ListParagraph"/>
        <w:numPr>
          <w:ilvl w:val="0"/>
          <w:numId w:val="12"/>
        </w:numPr>
        <w:spacing w:before="120" w:after="120"/>
        <w:jc w:val="both"/>
        <w:rPr>
          <w:rFonts w:asciiTheme="minorHAnsi" w:hAnsiTheme="minorHAnsi" w:cstheme="minorHAnsi"/>
          <w:sz w:val="24"/>
          <w:szCs w:val="24"/>
        </w:rPr>
      </w:pPr>
      <w:r w:rsidRPr="00AD2627">
        <w:rPr>
          <w:rFonts w:asciiTheme="minorHAnsi" w:hAnsiTheme="minorHAnsi" w:cstheme="minorHAnsi"/>
          <w:sz w:val="24"/>
          <w:szCs w:val="24"/>
        </w:rPr>
        <w:t xml:space="preserve">Combining Safe </w:t>
      </w:r>
      <w:proofErr w:type="spellStart"/>
      <w:r w:rsidRPr="00AD2627">
        <w:rPr>
          <w:rFonts w:asciiTheme="minorHAnsi" w:hAnsiTheme="minorHAnsi" w:cstheme="minorHAnsi"/>
          <w:sz w:val="24"/>
          <w:szCs w:val="24"/>
        </w:rPr>
        <w:t>Harbor</w:t>
      </w:r>
      <w:proofErr w:type="spellEnd"/>
      <w:r w:rsidRPr="00AD2627">
        <w:rPr>
          <w:rFonts w:asciiTheme="minorHAnsi" w:hAnsiTheme="minorHAnsi" w:cstheme="minorHAnsi"/>
          <w:sz w:val="24"/>
          <w:szCs w:val="24"/>
        </w:rPr>
        <w:t xml:space="preserve"> Agreements and Candidate Conservation Agreements with Assurances into a single Conservation Benefits Agreement;</w:t>
      </w:r>
    </w:p>
    <w:p w14:paraId="567AFD58" w14:textId="77777777" w:rsidR="00B9235C" w:rsidRPr="00AD2627" w:rsidRDefault="00B9235C" w:rsidP="00B9235C">
      <w:pPr>
        <w:pStyle w:val="ListParagraph"/>
        <w:numPr>
          <w:ilvl w:val="0"/>
          <w:numId w:val="12"/>
        </w:numPr>
        <w:spacing w:before="120" w:after="120"/>
        <w:jc w:val="both"/>
        <w:rPr>
          <w:rFonts w:asciiTheme="minorHAnsi" w:hAnsiTheme="minorHAnsi" w:cstheme="minorHAnsi"/>
          <w:sz w:val="24"/>
          <w:szCs w:val="24"/>
        </w:rPr>
      </w:pPr>
      <w:r w:rsidRPr="00AD2627">
        <w:rPr>
          <w:rFonts w:asciiTheme="minorHAnsi" w:hAnsiTheme="minorHAnsi" w:cstheme="minorHAnsi"/>
          <w:sz w:val="24"/>
          <w:szCs w:val="24"/>
        </w:rPr>
        <w:t>Allowing that agreements can include non-listed species without having to include a listed species and clarifying that these agreements could satisfy future permitting requirements should the species become listed; and</w:t>
      </w:r>
    </w:p>
    <w:p w14:paraId="4755F8CD" w14:textId="77777777" w:rsidR="00B9235C" w:rsidRPr="00AD2627" w:rsidRDefault="00B9235C" w:rsidP="00B9235C">
      <w:pPr>
        <w:pStyle w:val="ListParagraph"/>
        <w:numPr>
          <w:ilvl w:val="0"/>
          <w:numId w:val="12"/>
        </w:numPr>
        <w:spacing w:before="120" w:after="120"/>
        <w:jc w:val="both"/>
        <w:rPr>
          <w:rFonts w:asciiTheme="minorHAnsi" w:hAnsiTheme="minorHAnsi" w:cstheme="minorHAnsi"/>
          <w:sz w:val="24"/>
          <w:szCs w:val="24"/>
        </w:rPr>
      </w:pPr>
      <w:r w:rsidRPr="00AD2627">
        <w:rPr>
          <w:rFonts w:asciiTheme="minorHAnsi" w:hAnsiTheme="minorHAnsi" w:cstheme="minorHAnsi"/>
          <w:sz w:val="24"/>
          <w:szCs w:val="24"/>
        </w:rPr>
        <w:t>Codifying a number of policies and procedures that are not currently within the rule.</w:t>
      </w:r>
    </w:p>
    <w:p w14:paraId="4836B686" w14:textId="77777777" w:rsidR="00B9235C" w:rsidRPr="00362D81" w:rsidRDefault="00B9235C" w:rsidP="00B9235C">
      <w:pPr>
        <w:spacing w:before="120" w:after="120"/>
        <w:contextualSpacing/>
        <w:jc w:val="both"/>
        <w:rPr>
          <w:rFonts w:cstheme="minorHAnsi"/>
        </w:rPr>
      </w:pPr>
      <w:r w:rsidRPr="00362D81">
        <w:rPr>
          <w:rFonts w:cstheme="minorHAnsi"/>
        </w:rPr>
        <w:t>Unfortunately, issues remain that will be persistent impediments to landowner participation. As noted in our position paper, where an agreement also involves species under the jurisdiction of the National Oceanic and Atmospheric Administration - Marine Fisheries Division, it becomes subject to the rules of two separate federal agencies and there is no apparent coordination between the two organizations in this proposed rule.</w:t>
      </w:r>
    </w:p>
    <w:p w14:paraId="76051BA7" w14:textId="77777777" w:rsidR="00B9235C" w:rsidRPr="00362D81" w:rsidRDefault="00B9235C" w:rsidP="00B9235C">
      <w:pPr>
        <w:spacing w:before="120" w:after="120"/>
        <w:contextualSpacing/>
        <w:jc w:val="both"/>
        <w:rPr>
          <w:rFonts w:cstheme="minorHAnsi"/>
        </w:rPr>
      </w:pPr>
    </w:p>
    <w:p w14:paraId="3D02C1DD" w14:textId="77777777" w:rsidR="00B9235C" w:rsidRPr="00362D81" w:rsidRDefault="00B9235C" w:rsidP="00B9235C">
      <w:pPr>
        <w:spacing w:before="120" w:after="120"/>
        <w:contextualSpacing/>
        <w:jc w:val="both"/>
        <w:rPr>
          <w:rFonts w:cstheme="minorHAnsi"/>
          <w:b/>
          <w:bCs/>
        </w:rPr>
      </w:pPr>
      <w:r w:rsidRPr="00362D81">
        <w:rPr>
          <w:rFonts w:cstheme="minorHAnsi"/>
          <w:b/>
          <w:bCs/>
        </w:rPr>
        <w:t>Relationship to Landowners</w:t>
      </w:r>
    </w:p>
    <w:p w14:paraId="2DD42037" w14:textId="77777777" w:rsidR="00B9235C" w:rsidRPr="00362D81" w:rsidRDefault="00B9235C" w:rsidP="00B9235C">
      <w:pPr>
        <w:spacing w:before="120" w:after="120"/>
        <w:contextualSpacing/>
        <w:jc w:val="both"/>
        <w:rPr>
          <w:rFonts w:cstheme="minorHAnsi"/>
        </w:rPr>
      </w:pPr>
    </w:p>
    <w:p w14:paraId="0D3D1FE6" w14:textId="77777777" w:rsidR="00667738" w:rsidRDefault="00B9235C" w:rsidP="00B9235C">
      <w:pPr>
        <w:spacing w:before="120" w:after="120"/>
        <w:contextualSpacing/>
        <w:jc w:val="both"/>
        <w:rPr>
          <w:rFonts w:cstheme="minorHAnsi"/>
          <w:b/>
          <w:bCs/>
        </w:rPr>
      </w:pPr>
      <w:r w:rsidRPr="00362D81">
        <w:rPr>
          <w:rFonts w:cstheme="minorHAnsi"/>
          <w:b/>
          <w:bCs/>
        </w:rPr>
        <w:t xml:space="preserve">“ISSUE 5.1: </w:t>
      </w:r>
      <w:r w:rsidRPr="00362D81">
        <w:rPr>
          <w:rFonts w:cstheme="minorHAnsi"/>
        </w:rPr>
        <w:t>Private landowners often fear the repercussions an endangered species listing may have on the use of their property. This fear often disincentiv</w:t>
      </w:r>
      <w:r>
        <w:rPr>
          <w:rFonts w:cstheme="minorHAnsi"/>
        </w:rPr>
        <w:t>iz</w:t>
      </w:r>
      <w:r w:rsidRPr="00362D81">
        <w:rPr>
          <w:rFonts w:cstheme="minorHAnsi"/>
        </w:rPr>
        <w:t>es (1) monitoring for and reporting listed populations and (2) managing their land in ways that help protect listed species. The more landowners are at odds with ESA, the less access biologists and land managers have to listed species on private lands.</w:t>
      </w:r>
    </w:p>
    <w:p w14:paraId="0EABD401" w14:textId="77777777" w:rsidR="00184AE5" w:rsidRDefault="00184AE5" w:rsidP="00B9235C">
      <w:pPr>
        <w:spacing w:before="120" w:after="120"/>
        <w:contextualSpacing/>
        <w:jc w:val="both"/>
        <w:rPr>
          <w:rFonts w:cstheme="minorHAnsi"/>
          <w:b/>
          <w:bCs/>
        </w:rPr>
      </w:pPr>
    </w:p>
    <w:p w14:paraId="67F5F06F" w14:textId="749F34E8" w:rsidR="00B9235C" w:rsidRDefault="00B9235C" w:rsidP="00184AE5">
      <w:pPr>
        <w:spacing w:before="120" w:after="120"/>
        <w:contextualSpacing/>
        <w:jc w:val="both"/>
        <w:rPr>
          <w:rFonts w:cstheme="minorHAnsi"/>
          <w:b/>
          <w:bCs/>
        </w:rPr>
      </w:pPr>
      <w:r w:rsidRPr="00362D81">
        <w:rPr>
          <w:rFonts w:cstheme="minorHAnsi"/>
          <w:b/>
          <w:bCs/>
        </w:rPr>
        <w:t>Recommendation</w:t>
      </w:r>
      <w:r w:rsidRPr="00362D81">
        <w:rPr>
          <w:rFonts w:cstheme="minorHAnsi"/>
        </w:rPr>
        <w:t>:</w:t>
      </w:r>
    </w:p>
    <w:p w14:paraId="77B09D7B" w14:textId="77777777" w:rsidR="00184AE5" w:rsidRPr="00184AE5" w:rsidRDefault="00184AE5" w:rsidP="00184AE5">
      <w:pPr>
        <w:spacing w:before="120" w:after="120"/>
        <w:contextualSpacing/>
        <w:jc w:val="both"/>
        <w:rPr>
          <w:rFonts w:cstheme="minorHAnsi"/>
          <w:b/>
          <w:bCs/>
        </w:rPr>
      </w:pPr>
    </w:p>
    <w:p w14:paraId="6115B1C8" w14:textId="77777777" w:rsidR="00B9235C" w:rsidRPr="00362D81" w:rsidRDefault="00B9235C" w:rsidP="00B9235C">
      <w:pPr>
        <w:numPr>
          <w:ilvl w:val="0"/>
          <w:numId w:val="13"/>
        </w:numPr>
        <w:autoSpaceDE w:val="0"/>
        <w:autoSpaceDN w:val="0"/>
        <w:adjustRightInd w:val="0"/>
        <w:spacing w:line="259" w:lineRule="auto"/>
        <w:jc w:val="both"/>
        <w:rPr>
          <w:rFonts w:cstheme="minorHAnsi"/>
          <w:color w:val="000000"/>
        </w:rPr>
      </w:pPr>
      <w:r w:rsidRPr="00362D81">
        <w:rPr>
          <w:rFonts w:cstheme="minorHAnsi"/>
          <w:color w:val="000000"/>
        </w:rPr>
        <w:t xml:space="preserve">Allow for greater landowner discretion where management recommendations for one species are in conflict with the requirements of another species. </w:t>
      </w:r>
    </w:p>
    <w:p w14:paraId="5766F0B0" w14:textId="2B595895" w:rsidR="00667738" w:rsidRPr="003A6148" w:rsidRDefault="00B9235C" w:rsidP="00B9235C">
      <w:pPr>
        <w:spacing w:before="120" w:after="120"/>
        <w:jc w:val="both"/>
        <w:rPr>
          <w:rFonts w:cstheme="minorHAnsi"/>
        </w:rPr>
      </w:pPr>
      <w:r w:rsidRPr="00362D81">
        <w:rPr>
          <w:rFonts w:cstheme="minorHAnsi"/>
          <w:b/>
          <w:bCs/>
        </w:rPr>
        <w:t xml:space="preserve">ISSUE 5.2: </w:t>
      </w:r>
      <w:r w:rsidRPr="00362D81">
        <w:rPr>
          <w:rFonts w:cstheme="minorHAnsi"/>
        </w:rPr>
        <w:t xml:space="preserve">What constitutes a legal taking is often more comprehensive in scope than what actually might be necessary for adequate protection of a listed species. Additionally, federal </w:t>
      </w:r>
      <w:r w:rsidRPr="00362D81">
        <w:rPr>
          <w:rFonts w:cstheme="minorHAnsi"/>
        </w:rPr>
        <w:lastRenderedPageBreak/>
        <w:t>guidance on protocols and practices for avoiding takes can vary widely among regional offices, creating inconsistent and unequal treatment of landowners based on geography.</w:t>
      </w:r>
    </w:p>
    <w:p w14:paraId="23EAC1A7" w14:textId="4A8E7D3A" w:rsidR="00B9235C" w:rsidRPr="00362D81" w:rsidRDefault="00B9235C" w:rsidP="00B9235C">
      <w:pPr>
        <w:spacing w:before="120" w:after="120"/>
        <w:jc w:val="both"/>
        <w:rPr>
          <w:rFonts w:cstheme="minorHAnsi"/>
        </w:rPr>
      </w:pPr>
      <w:r w:rsidRPr="00362D81">
        <w:rPr>
          <w:rFonts w:cstheme="minorHAnsi"/>
          <w:b/>
          <w:bCs/>
        </w:rPr>
        <w:t>Recommendation</w:t>
      </w:r>
      <w:r w:rsidRPr="00362D81">
        <w:rPr>
          <w:rFonts w:cstheme="minorHAnsi"/>
        </w:rPr>
        <w:t>:</w:t>
      </w:r>
    </w:p>
    <w:p w14:paraId="79C04A83" w14:textId="23D52E6F" w:rsidR="00667738" w:rsidRPr="003A6148" w:rsidRDefault="00B9235C" w:rsidP="00B9235C">
      <w:pPr>
        <w:pStyle w:val="ListParagraph"/>
        <w:numPr>
          <w:ilvl w:val="0"/>
          <w:numId w:val="13"/>
        </w:numPr>
        <w:spacing w:before="120" w:after="120"/>
        <w:jc w:val="both"/>
        <w:rPr>
          <w:rFonts w:asciiTheme="minorHAnsi" w:hAnsiTheme="minorHAnsi" w:cstheme="minorHAnsi"/>
          <w:sz w:val="24"/>
          <w:szCs w:val="24"/>
        </w:rPr>
      </w:pPr>
      <w:r w:rsidRPr="000A3CD1">
        <w:rPr>
          <w:rFonts w:asciiTheme="minorHAnsi" w:hAnsiTheme="minorHAnsi" w:cstheme="minorHAnsi"/>
          <w:sz w:val="24"/>
          <w:szCs w:val="24"/>
        </w:rPr>
        <w:t>Develop and publish science-based protocols for take avoidance that are consistent across regions.”</w:t>
      </w:r>
    </w:p>
    <w:p w14:paraId="16A9DBAA" w14:textId="232C68E1" w:rsidR="00B9235C" w:rsidRPr="00362D81" w:rsidRDefault="00B9235C" w:rsidP="00B9235C">
      <w:pPr>
        <w:spacing w:before="120" w:after="120"/>
        <w:contextualSpacing/>
        <w:jc w:val="both"/>
        <w:rPr>
          <w:rFonts w:cstheme="minorHAnsi"/>
          <w:color w:val="000000"/>
        </w:rPr>
      </w:pPr>
      <w:r w:rsidRPr="00362D81">
        <w:rPr>
          <w:rFonts w:cstheme="minorHAnsi"/>
          <w:color w:val="000000"/>
        </w:rPr>
        <w:t xml:space="preserve">NASF continues to support the purposes of the ESA originally adopted in 1973, </w:t>
      </w:r>
      <w:r>
        <w:rPr>
          <w:rFonts w:cstheme="minorHAnsi"/>
          <w:color w:val="000000"/>
        </w:rPr>
        <w:t>though</w:t>
      </w:r>
      <w:r w:rsidRPr="00362D81">
        <w:rPr>
          <w:rFonts w:cstheme="minorHAnsi"/>
          <w:color w:val="000000"/>
        </w:rPr>
        <w:t xml:space="preserve"> we have concerns as to the Act’s effectiveness and some of its unintended consequences. Notably, when an endangered or threatened species listing places restrictive and/or financially difficult burdens on a landowner, the end result could well be the disposal and conversion of that land to other uses. We feel the administration and implementation of the ESA has, in the past</w:t>
      </w:r>
      <w:r>
        <w:rPr>
          <w:rFonts w:cstheme="minorHAnsi"/>
          <w:color w:val="000000"/>
        </w:rPr>
        <w:t>,</w:t>
      </w:r>
      <w:r w:rsidRPr="00362D81">
        <w:rPr>
          <w:rFonts w:cstheme="minorHAnsi"/>
          <w:color w:val="000000"/>
        </w:rPr>
        <w:t xml:space="preserve"> made many landowners</w:t>
      </w:r>
      <w:r>
        <w:rPr>
          <w:rFonts w:cstheme="minorHAnsi"/>
          <w:color w:val="000000"/>
        </w:rPr>
        <w:t xml:space="preserve"> </w:t>
      </w:r>
      <w:r w:rsidRPr="00362D81">
        <w:rPr>
          <w:rFonts w:cstheme="minorHAnsi"/>
          <w:color w:val="000000"/>
        </w:rPr>
        <w:t>fearful that an endangered species may reside on their property. NASF is hopeful a modernized ESA could one day lead to landowners celebrating their ability to help a species at risk rather than dreading regulatory intervention.</w:t>
      </w:r>
    </w:p>
    <w:p w14:paraId="0D5CC9E0" w14:textId="77777777" w:rsidR="00B9235C" w:rsidRPr="00362D81" w:rsidRDefault="00B9235C" w:rsidP="00B9235C">
      <w:pPr>
        <w:spacing w:before="120" w:after="120"/>
        <w:contextualSpacing/>
        <w:jc w:val="both"/>
        <w:rPr>
          <w:rFonts w:cstheme="minorHAnsi"/>
        </w:rPr>
      </w:pPr>
    </w:p>
    <w:p w14:paraId="3BB95196" w14:textId="77777777" w:rsidR="00B9235C" w:rsidRPr="00362D81" w:rsidRDefault="00B9235C" w:rsidP="00B9235C">
      <w:pPr>
        <w:spacing w:before="120" w:after="120"/>
        <w:contextualSpacing/>
        <w:jc w:val="both"/>
        <w:rPr>
          <w:rFonts w:cstheme="minorHAnsi"/>
        </w:rPr>
      </w:pPr>
      <w:r w:rsidRPr="00362D81">
        <w:rPr>
          <w:rFonts w:cstheme="minorHAnsi"/>
        </w:rPr>
        <w:t>Although there are some financial assistance programs available to private landowners who seek to improve habitat, the overwhelming regulatory framework of ESA still, in our view, causes more dread than celebration on the part of a landowner who becomes aware of a protected species on their property. We are not certain these proposed changes will alter that perception significantly.</w:t>
      </w:r>
    </w:p>
    <w:p w14:paraId="4F7BCC83" w14:textId="77777777" w:rsidR="00B9235C" w:rsidRPr="00362D81" w:rsidRDefault="00B9235C" w:rsidP="00B9235C">
      <w:pPr>
        <w:spacing w:before="120" w:after="120"/>
        <w:contextualSpacing/>
        <w:jc w:val="both"/>
        <w:rPr>
          <w:rFonts w:cstheme="minorHAnsi"/>
        </w:rPr>
      </w:pPr>
    </w:p>
    <w:p w14:paraId="5B61B03B" w14:textId="77777777" w:rsidR="00B9235C" w:rsidRPr="00362D81" w:rsidRDefault="00B9235C" w:rsidP="00B9235C">
      <w:pPr>
        <w:spacing w:before="120" w:after="120"/>
        <w:contextualSpacing/>
        <w:jc w:val="both"/>
        <w:rPr>
          <w:rFonts w:cstheme="minorHAnsi"/>
        </w:rPr>
      </w:pPr>
      <w:r w:rsidRPr="00362D81">
        <w:rPr>
          <w:rFonts w:cstheme="minorHAnsi"/>
        </w:rPr>
        <w:t>Thank you for the opportunity to comment. We would be pleased to meet and further discuss any aspect of the ESA that can enhance its success.</w:t>
      </w:r>
    </w:p>
    <w:p w14:paraId="4DB29DD3" w14:textId="77777777" w:rsidR="00B9235C" w:rsidRPr="00362D81" w:rsidRDefault="00B9235C" w:rsidP="00B9235C">
      <w:pPr>
        <w:spacing w:before="120" w:after="120"/>
        <w:contextualSpacing/>
        <w:rPr>
          <w:rFonts w:cstheme="minorHAnsi"/>
        </w:rPr>
      </w:pPr>
    </w:p>
    <w:p w14:paraId="585D920D" w14:textId="77777777" w:rsidR="00B9235C" w:rsidRDefault="00B9235C" w:rsidP="00B9235C">
      <w:pPr>
        <w:spacing w:before="120" w:after="120"/>
        <w:contextualSpacing/>
        <w:rPr>
          <w:rFonts w:ascii="Calibri" w:hAnsi="Calibri" w:cs="Calibri"/>
        </w:rPr>
      </w:pPr>
      <w:r>
        <w:rPr>
          <w:rFonts w:ascii="Calibri" w:hAnsi="Calibri" w:cs="Calibri"/>
        </w:rPr>
        <w:t>Sincerely,</w:t>
      </w:r>
    </w:p>
    <w:p w14:paraId="3BAEAA1A" w14:textId="77777777" w:rsidR="006501D2" w:rsidRDefault="006501D2" w:rsidP="00B9235C">
      <w:pPr>
        <w:spacing w:before="120" w:after="120"/>
        <w:contextualSpacing/>
        <w:rPr>
          <w:rFonts w:ascii="Calibri" w:hAnsi="Calibri" w:cs="Calibri"/>
        </w:rPr>
      </w:pPr>
    </w:p>
    <w:p w14:paraId="11B9A45E" w14:textId="4140D96D" w:rsidR="006501D2" w:rsidRDefault="00A212EA" w:rsidP="00B9235C">
      <w:pPr>
        <w:spacing w:before="120" w:after="120"/>
        <w:contextualSpacing/>
        <w:rPr>
          <w:rFonts w:ascii="Calibri" w:hAnsi="Calibri" w:cs="Calibri"/>
        </w:rPr>
      </w:pPr>
      <w:r>
        <w:rPr>
          <w:noProof/>
        </w:rPr>
        <w:drawing>
          <wp:inline distT="0" distB="0" distL="0" distR="0" wp14:anchorId="2B8AB359" wp14:editId="24433479">
            <wp:extent cx="22193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647700"/>
                    </a:xfrm>
                    <a:prstGeom prst="rect">
                      <a:avLst/>
                    </a:prstGeom>
                    <a:noFill/>
                    <a:ln>
                      <a:noFill/>
                    </a:ln>
                  </pic:spPr>
                </pic:pic>
              </a:graphicData>
            </a:graphic>
          </wp:inline>
        </w:drawing>
      </w:r>
    </w:p>
    <w:p w14:paraId="0528CD55" w14:textId="77777777" w:rsidR="006501D2" w:rsidRDefault="006501D2" w:rsidP="00B9235C">
      <w:pPr>
        <w:spacing w:before="120" w:after="120"/>
        <w:contextualSpacing/>
        <w:rPr>
          <w:rFonts w:ascii="Calibri" w:hAnsi="Calibri" w:cs="Calibri"/>
        </w:rPr>
      </w:pPr>
    </w:p>
    <w:p w14:paraId="5AAD4A78" w14:textId="6182DA2F" w:rsidR="006501D2" w:rsidRDefault="006501D2" w:rsidP="00B9235C">
      <w:pPr>
        <w:spacing w:before="120" w:after="120"/>
        <w:contextualSpacing/>
        <w:rPr>
          <w:rFonts w:ascii="Calibri" w:hAnsi="Calibri" w:cs="Calibri"/>
        </w:rPr>
      </w:pPr>
      <w:r>
        <w:rPr>
          <w:rFonts w:ascii="Calibri" w:hAnsi="Calibri" w:cs="Calibri"/>
        </w:rPr>
        <w:t>Kacey</w:t>
      </w:r>
      <w:r w:rsidR="000A3CD1">
        <w:rPr>
          <w:rFonts w:ascii="Calibri" w:hAnsi="Calibri" w:cs="Calibri"/>
        </w:rPr>
        <w:t xml:space="preserve"> </w:t>
      </w:r>
      <w:r>
        <w:rPr>
          <w:rFonts w:ascii="Calibri" w:hAnsi="Calibri" w:cs="Calibri"/>
        </w:rPr>
        <w:t>KC</w:t>
      </w:r>
    </w:p>
    <w:p w14:paraId="6ACD6537" w14:textId="53B4A431" w:rsidR="006501D2" w:rsidRDefault="006501D2" w:rsidP="00B9235C">
      <w:pPr>
        <w:spacing w:before="120" w:after="120"/>
        <w:contextualSpacing/>
        <w:rPr>
          <w:rFonts w:ascii="Calibri" w:hAnsi="Calibri" w:cs="Calibri"/>
        </w:rPr>
      </w:pPr>
      <w:r>
        <w:rPr>
          <w:rFonts w:ascii="Calibri" w:hAnsi="Calibri" w:cs="Calibri"/>
        </w:rPr>
        <w:t>NASF President</w:t>
      </w:r>
    </w:p>
    <w:p w14:paraId="620EBD3B" w14:textId="457B33FE" w:rsidR="006501D2" w:rsidRDefault="006501D2" w:rsidP="00B9235C">
      <w:pPr>
        <w:spacing w:before="120" w:after="120"/>
        <w:contextualSpacing/>
        <w:rPr>
          <w:rFonts w:ascii="Calibri" w:hAnsi="Calibri" w:cs="Calibri"/>
        </w:rPr>
      </w:pPr>
      <w:r>
        <w:rPr>
          <w:rFonts w:ascii="Calibri" w:hAnsi="Calibri" w:cs="Calibri"/>
        </w:rPr>
        <w:t>Nevada State Forester</w:t>
      </w:r>
    </w:p>
    <w:p w14:paraId="11B95994" w14:textId="77777777" w:rsidR="00B9235C" w:rsidRDefault="00B9235C" w:rsidP="004D5593">
      <w:pPr>
        <w:rPr>
          <w:rFonts w:ascii="Times New Roman" w:hAnsi="Times New Roman" w:cs="Times New Roman"/>
          <w:sz w:val="22"/>
          <w:szCs w:val="22"/>
        </w:rPr>
      </w:pPr>
    </w:p>
    <w:p w14:paraId="59CEE301" w14:textId="77777777" w:rsidR="00312AAD" w:rsidRPr="009E72D5" w:rsidRDefault="00312AAD" w:rsidP="00D2022B">
      <w:pPr>
        <w:rPr>
          <w:rFonts w:ascii="Times New Roman" w:hAnsi="Times New Roman" w:cs="Times New Roman"/>
        </w:rPr>
      </w:pPr>
    </w:p>
    <w:sectPr w:rsidR="00312AAD" w:rsidRPr="009E72D5" w:rsidSect="009D7104">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3BC0" w14:textId="77777777" w:rsidR="00910C70" w:rsidRDefault="00910C70" w:rsidP="00D90766">
      <w:r>
        <w:separator/>
      </w:r>
    </w:p>
  </w:endnote>
  <w:endnote w:type="continuationSeparator" w:id="0">
    <w:p w14:paraId="65292737" w14:textId="77777777" w:rsidR="00910C70" w:rsidRDefault="00910C70" w:rsidP="00D90766">
      <w:r>
        <w:continuationSeparator/>
      </w:r>
    </w:p>
  </w:endnote>
  <w:endnote w:type="continuationNotice" w:id="1">
    <w:p w14:paraId="7F9BB2F1" w14:textId="77777777" w:rsidR="00910C70" w:rsidRDefault="00910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638095"/>
      <w:docPartObj>
        <w:docPartGallery w:val="Page Numbers (Bottom of Page)"/>
        <w:docPartUnique/>
      </w:docPartObj>
    </w:sdtPr>
    <w:sdtEndPr>
      <w:rPr>
        <w:noProof/>
      </w:rPr>
    </w:sdtEndPr>
    <w:sdtContent>
      <w:p w14:paraId="18B743E6" w14:textId="2EDBA856" w:rsidR="00FB4726" w:rsidRDefault="00FB47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504F0A" w14:textId="77777777" w:rsidR="007E72A7" w:rsidRDefault="007E7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2439" w14:textId="7E032FD9" w:rsidR="005E048C" w:rsidRDefault="00904BE1">
    <w:pPr>
      <w:pStyle w:val="Footer"/>
    </w:pPr>
    <w:r>
      <w:rPr>
        <w:noProof/>
      </w:rPr>
      <w:drawing>
        <wp:inline distT="0" distB="0" distL="0" distR="0" wp14:anchorId="5B4FA273" wp14:editId="082C32F9">
          <wp:extent cx="5943600" cy="626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6267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E957" w14:textId="77777777" w:rsidR="00910C70" w:rsidRDefault="00910C70" w:rsidP="00D90766">
      <w:r>
        <w:separator/>
      </w:r>
    </w:p>
  </w:footnote>
  <w:footnote w:type="continuationSeparator" w:id="0">
    <w:p w14:paraId="6FF1F4E7" w14:textId="77777777" w:rsidR="00910C70" w:rsidRDefault="00910C70" w:rsidP="00D90766">
      <w:r>
        <w:continuationSeparator/>
      </w:r>
    </w:p>
  </w:footnote>
  <w:footnote w:type="continuationNotice" w:id="1">
    <w:p w14:paraId="1DE8DCB4" w14:textId="77777777" w:rsidR="00910C70" w:rsidRDefault="00910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33DD" w14:textId="7F9F9B94" w:rsidR="009D7104" w:rsidRDefault="009D7104">
    <w:pPr>
      <w:pStyle w:val="Header"/>
    </w:pPr>
    <w:r>
      <w:rPr>
        <w:noProof/>
      </w:rPr>
      <w:drawing>
        <wp:anchor distT="0" distB="0" distL="114300" distR="114300" simplePos="0" relativeHeight="251658240" behindDoc="0" locked="0" layoutInCell="1" allowOverlap="1" wp14:anchorId="6C52C92E" wp14:editId="0D617E61">
          <wp:simplePos x="0" y="0"/>
          <wp:positionH relativeFrom="column">
            <wp:posOffset>-344170</wp:posOffset>
          </wp:positionH>
          <wp:positionV relativeFrom="page">
            <wp:posOffset>461645</wp:posOffset>
          </wp:positionV>
          <wp:extent cx="6654165" cy="746760"/>
          <wp:effectExtent l="0" t="0" r="635" b="2540"/>
          <wp:wrapThrough wrapText="bothSides">
            <wp:wrapPolygon edited="0">
              <wp:start x="825" y="0"/>
              <wp:lineTo x="536" y="1102"/>
              <wp:lineTo x="0" y="5143"/>
              <wp:lineTo x="0" y="14327"/>
              <wp:lineTo x="165" y="17633"/>
              <wp:lineTo x="165" y="18000"/>
              <wp:lineTo x="742" y="21306"/>
              <wp:lineTo x="783" y="21306"/>
              <wp:lineTo x="1649" y="21306"/>
              <wp:lineTo x="1731" y="21306"/>
              <wp:lineTo x="2267" y="18000"/>
              <wp:lineTo x="2267" y="17633"/>
              <wp:lineTo x="20365" y="15796"/>
              <wp:lineTo x="20365" y="11755"/>
              <wp:lineTo x="21561" y="10653"/>
              <wp:lineTo x="21561" y="5143"/>
              <wp:lineTo x="1649" y="0"/>
              <wp:lineTo x="82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020.png"/>
                  <pic:cNvPicPr/>
                </pic:nvPicPr>
                <pic:blipFill>
                  <a:blip r:embed="rId1">
                    <a:extLst>
                      <a:ext uri="{28A0092B-C50C-407E-A947-70E740481C1C}">
                        <a14:useLocalDpi xmlns:a14="http://schemas.microsoft.com/office/drawing/2010/main" val="0"/>
                      </a:ext>
                    </a:extLst>
                  </a:blip>
                  <a:stretch>
                    <a:fillRect/>
                  </a:stretch>
                </pic:blipFill>
                <pic:spPr>
                  <a:xfrm>
                    <a:off x="0" y="0"/>
                    <a:ext cx="6654165" cy="746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828"/>
    <w:multiLevelType w:val="hybridMultilevel"/>
    <w:tmpl w:val="B8E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3A4A"/>
    <w:multiLevelType w:val="hybridMultilevel"/>
    <w:tmpl w:val="4230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F58EA"/>
    <w:multiLevelType w:val="hybridMultilevel"/>
    <w:tmpl w:val="C5E8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504C9"/>
    <w:multiLevelType w:val="hybridMultilevel"/>
    <w:tmpl w:val="E8583374"/>
    <w:lvl w:ilvl="0" w:tplc="627212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3D6CBA"/>
    <w:multiLevelType w:val="hybridMultilevel"/>
    <w:tmpl w:val="6CAC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96B5E"/>
    <w:multiLevelType w:val="hybridMultilevel"/>
    <w:tmpl w:val="718C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B5A4E"/>
    <w:multiLevelType w:val="hybridMultilevel"/>
    <w:tmpl w:val="709A3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F9D5C9A"/>
    <w:multiLevelType w:val="hybridMultilevel"/>
    <w:tmpl w:val="2DB82FD4"/>
    <w:lvl w:ilvl="0" w:tplc="826842F6">
      <w:start w:val="527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7A6E2F"/>
    <w:multiLevelType w:val="hybridMultilevel"/>
    <w:tmpl w:val="B07E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72CB2"/>
    <w:multiLevelType w:val="hybridMultilevel"/>
    <w:tmpl w:val="83A4BD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F46A9"/>
    <w:multiLevelType w:val="hybridMultilevel"/>
    <w:tmpl w:val="E7D09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4441B2B"/>
    <w:multiLevelType w:val="hybridMultilevel"/>
    <w:tmpl w:val="2B0E3EE0"/>
    <w:lvl w:ilvl="0" w:tplc="0409000F">
      <w:start w:val="1"/>
      <w:numFmt w:val="decimal"/>
      <w:lvlText w:val="%1."/>
      <w:lvlJc w:val="left"/>
      <w:pPr>
        <w:ind w:left="720" w:hanging="360"/>
      </w:pPr>
    </w:lvl>
    <w:lvl w:ilvl="1" w:tplc="A7C6E37A">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9DF2983"/>
    <w:multiLevelType w:val="hybridMultilevel"/>
    <w:tmpl w:val="DDF0D4FC"/>
    <w:lvl w:ilvl="0" w:tplc="9EF806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0617552">
    <w:abstractNumId w:val="6"/>
  </w:num>
  <w:num w:numId="2" w16cid:durableId="1750954701">
    <w:abstractNumId w:val="10"/>
  </w:num>
  <w:num w:numId="3" w16cid:durableId="661392666">
    <w:abstractNumId w:val="2"/>
  </w:num>
  <w:num w:numId="4" w16cid:durableId="138348985">
    <w:abstractNumId w:val="12"/>
  </w:num>
  <w:num w:numId="5" w16cid:durableId="1623610179">
    <w:abstractNumId w:val="3"/>
  </w:num>
  <w:num w:numId="6" w16cid:durableId="252203500">
    <w:abstractNumId w:val="8"/>
  </w:num>
  <w:num w:numId="7" w16cid:durableId="2076734888">
    <w:abstractNumId w:val="5"/>
  </w:num>
  <w:num w:numId="8" w16cid:durableId="1601831977">
    <w:abstractNumId w:val="1"/>
  </w:num>
  <w:num w:numId="9" w16cid:durableId="419956693">
    <w:abstractNumId w:val="0"/>
  </w:num>
  <w:num w:numId="10" w16cid:durableId="1788160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707531">
    <w:abstractNumId w:val="9"/>
  </w:num>
  <w:num w:numId="12" w16cid:durableId="804547504">
    <w:abstractNumId w:val="7"/>
  </w:num>
  <w:num w:numId="13" w16cid:durableId="317929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66"/>
    <w:rsid w:val="00014385"/>
    <w:rsid w:val="0001628F"/>
    <w:rsid w:val="00021FF5"/>
    <w:rsid w:val="00031850"/>
    <w:rsid w:val="0003215E"/>
    <w:rsid w:val="00044707"/>
    <w:rsid w:val="00081459"/>
    <w:rsid w:val="00090C41"/>
    <w:rsid w:val="00096B40"/>
    <w:rsid w:val="000A1365"/>
    <w:rsid w:val="000A24B8"/>
    <w:rsid w:val="000A3B56"/>
    <w:rsid w:val="000A3CD1"/>
    <w:rsid w:val="000B1EC4"/>
    <w:rsid w:val="000B35AE"/>
    <w:rsid w:val="000C75D7"/>
    <w:rsid w:val="000F29E2"/>
    <w:rsid w:val="000F47D7"/>
    <w:rsid w:val="0010731D"/>
    <w:rsid w:val="00110C96"/>
    <w:rsid w:val="001140C7"/>
    <w:rsid w:val="0012414C"/>
    <w:rsid w:val="001471CE"/>
    <w:rsid w:val="00156843"/>
    <w:rsid w:val="00164838"/>
    <w:rsid w:val="001679CF"/>
    <w:rsid w:val="00184AE5"/>
    <w:rsid w:val="00194522"/>
    <w:rsid w:val="001B2140"/>
    <w:rsid w:val="001D156E"/>
    <w:rsid w:val="001D3B50"/>
    <w:rsid w:val="001E65CD"/>
    <w:rsid w:val="002113A0"/>
    <w:rsid w:val="0022428E"/>
    <w:rsid w:val="00227167"/>
    <w:rsid w:val="00237920"/>
    <w:rsid w:val="0024482D"/>
    <w:rsid w:val="0025663A"/>
    <w:rsid w:val="00257F03"/>
    <w:rsid w:val="002764F2"/>
    <w:rsid w:val="002810A4"/>
    <w:rsid w:val="002B1BCB"/>
    <w:rsid w:val="002B2C3B"/>
    <w:rsid w:val="002B5A5D"/>
    <w:rsid w:val="002B5EC7"/>
    <w:rsid w:val="002C5CD5"/>
    <w:rsid w:val="002D16F7"/>
    <w:rsid w:val="0030442A"/>
    <w:rsid w:val="00312AAD"/>
    <w:rsid w:val="003308CE"/>
    <w:rsid w:val="0036433A"/>
    <w:rsid w:val="003731C6"/>
    <w:rsid w:val="003A4203"/>
    <w:rsid w:val="003A6148"/>
    <w:rsid w:val="003B49A9"/>
    <w:rsid w:val="003B4DA6"/>
    <w:rsid w:val="003C0DF6"/>
    <w:rsid w:val="003D24C2"/>
    <w:rsid w:val="003D70E4"/>
    <w:rsid w:val="003E3878"/>
    <w:rsid w:val="003E5EFE"/>
    <w:rsid w:val="003F6ACA"/>
    <w:rsid w:val="00420CC2"/>
    <w:rsid w:val="00445E94"/>
    <w:rsid w:val="00454C84"/>
    <w:rsid w:val="0045635B"/>
    <w:rsid w:val="00460141"/>
    <w:rsid w:val="004729F7"/>
    <w:rsid w:val="00495AA1"/>
    <w:rsid w:val="004D0F4B"/>
    <w:rsid w:val="004D5548"/>
    <w:rsid w:val="004D5593"/>
    <w:rsid w:val="004D6E67"/>
    <w:rsid w:val="0050047A"/>
    <w:rsid w:val="0050498D"/>
    <w:rsid w:val="00545EA4"/>
    <w:rsid w:val="0054745D"/>
    <w:rsid w:val="00574938"/>
    <w:rsid w:val="005B3898"/>
    <w:rsid w:val="005D4F2C"/>
    <w:rsid w:val="005E048C"/>
    <w:rsid w:val="005E1282"/>
    <w:rsid w:val="005E38E4"/>
    <w:rsid w:val="005E4A7F"/>
    <w:rsid w:val="005E5B22"/>
    <w:rsid w:val="005F150A"/>
    <w:rsid w:val="005F2D0A"/>
    <w:rsid w:val="005F44CE"/>
    <w:rsid w:val="00637A3D"/>
    <w:rsid w:val="006501D2"/>
    <w:rsid w:val="00656D6D"/>
    <w:rsid w:val="006672A4"/>
    <w:rsid w:val="00667738"/>
    <w:rsid w:val="00673850"/>
    <w:rsid w:val="0068280D"/>
    <w:rsid w:val="00684E68"/>
    <w:rsid w:val="00690238"/>
    <w:rsid w:val="006A14B6"/>
    <w:rsid w:val="006F05F6"/>
    <w:rsid w:val="006F2A63"/>
    <w:rsid w:val="006F6006"/>
    <w:rsid w:val="007033F2"/>
    <w:rsid w:val="00721CE0"/>
    <w:rsid w:val="00740FF3"/>
    <w:rsid w:val="007662AD"/>
    <w:rsid w:val="00775431"/>
    <w:rsid w:val="00784A13"/>
    <w:rsid w:val="007A0B39"/>
    <w:rsid w:val="007B2C35"/>
    <w:rsid w:val="007B78CB"/>
    <w:rsid w:val="007C7783"/>
    <w:rsid w:val="007D1FFF"/>
    <w:rsid w:val="007D2C2B"/>
    <w:rsid w:val="007E2830"/>
    <w:rsid w:val="007E6ACD"/>
    <w:rsid w:val="007E72A7"/>
    <w:rsid w:val="007F25D3"/>
    <w:rsid w:val="0081661C"/>
    <w:rsid w:val="008273AA"/>
    <w:rsid w:val="008279E9"/>
    <w:rsid w:val="00875831"/>
    <w:rsid w:val="00886C23"/>
    <w:rsid w:val="00897E0E"/>
    <w:rsid w:val="008B2CA7"/>
    <w:rsid w:val="008B6C74"/>
    <w:rsid w:val="00903C5C"/>
    <w:rsid w:val="00904BE1"/>
    <w:rsid w:val="00910C70"/>
    <w:rsid w:val="009162F3"/>
    <w:rsid w:val="009277AD"/>
    <w:rsid w:val="00930F3A"/>
    <w:rsid w:val="009571CD"/>
    <w:rsid w:val="009616B4"/>
    <w:rsid w:val="0096443A"/>
    <w:rsid w:val="00976C24"/>
    <w:rsid w:val="009864FE"/>
    <w:rsid w:val="009A1AE6"/>
    <w:rsid w:val="009B6B01"/>
    <w:rsid w:val="009C08EC"/>
    <w:rsid w:val="009C1CE5"/>
    <w:rsid w:val="009D1A60"/>
    <w:rsid w:val="009D7104"/>
    <w:rsid w:val="009E72D5"/>
    <w:rsid w:val="009F63D8"/>
    <w:rsid w:val="00A03CE9"/>
    <w:rsid w:val="00A111B9"/>
    <w:rsid w:val="00A1529A"/>
    <w:rsid w:val="00A212EA"/>
    <w:rsid w:val="00A21E45"/>
    <w:rsid w:val="00A410CA"/>
    <w:rsid w:val="00A433BD"/>
    <w:rsid w:val="00A65B00"/>
    <w:rsid w:val="00A75C00"/>
    <w:rsid w:val="00A9259E"/>
    <w:rsid w:val="00A935C3"/>
    <w:rsid w:val="00AA57E6"/>
    <w:rsid w:val="00AC07AD"/>
    <w:rsid w:val="00AD2627"/>
    <w:rsid w:val="00AE1960"/>
    <w:rsid w:val="00AE798D"/>
    <w:rsid w:val="00B010AA"/>
    <w:rsid w:val="00B07BCE"/>
    <w:rsid w:val="00B07F31"/>
    <w:rsid w:val="00B10789"/>
    <w:rsid w:val="00B13938"/>
    <w:rsid w:val="00B71BB1"/>
    <w:rsid w:val="00B762B8"/>
    <w:rsid w:val="00B819E5"/>
    <w:rsid w:val="00B82A97"/>
    <w:rsid w:val="00B9235C"/>
    <w:rsid w:val="00B977C1"/>
    <w:rsid w:val="00BA4881"/>
    <w:rsid w:val="00BA5885"/>
    <w:rsid w:val="00BC1AEA"/>
    <w:rsid w:val="00BD0B7F"/>
    <w:rsid w:val="00C25AE1"/>
    <w:rsid w:val="00C41C7C"/>
    <w:rsid w:val="00C661F0"/>
    <w:rsid w:val="00C677B1"/>
    <w:rsid w:val="00C762B9"/>
    <w:rsid w:val="00C93CBD"/>
    <w:rsid w:val="00CA4E47"/>
    <w:rsid w:val="00CA6C57"/>
    <w:rsid w:val="00CB077C"/>
    <w:rsid w:val="00CC60FE"/>
    <w:rsid w:val="00CD04A9"/>
    <w:rsid w:val="00CD1C06"/>
    <w:rsid w:val="00CD4859"/>
    <w:rsid w:val="00CE2F2B"/>
    <w:rsid w:val="00CF5ADE"/>
    <w:rsid w:val="00CF6330"/>
    <w:rsid w:val="00D00CC4"/>
    <w:rsid w:val="00D04774"/>
    <w:rsid w:val="00D1284C"/>
    <w:rsid w:val="00D2022B"/>
    <w:rsid w:val="00D30261"/>
    <w:rsid w:val="00D562BF"/>
    <w:rsid w:val="00D867B4"/>
    <w:rsid w:val="00D90766"/>
    <w:rsid w:val="00D97008"/>
    <w:rsid w:val="00DA3418"/>
    <w:rsid w:val="00DA5E53"/>
    <w:rsid w:val="00DC5866"/>
    <w:rsid w:val="00DC7049"/>
    <w:rsid w:val="00DD7B3D"/>
    <w:rsid w:val="00DE396A"/>
    <w:rsid w:val="00E02B10"/>
    <w:rsid w:val="00E222EC"/>
    <w:rsid w:val="00E27BE7"/>
    <w:rsid w:val="00E3167C"/>
    <w:rsid w:val="00E37512"/>
    <w:rsid w:val="00E567AF"/>
    <w:rsid w:val="00E715A3"/>
    <w:rsid w:val="00E94F5B"/>
    <w:rsid w:val="00EB5808"/>
    <w:rsid w:val="00EC0FBC"/>
    <w:rsid w:val="00EE2D27"/>
    <w:rsid w:val="00EE5328"/>
    <w:rsid w:val="00EE5F44"/>
    <w:rsid w:val="00EF502D"/>
    <w:rsid w:val="00EF6CAD"/>
    <w:rsid w:val="00F01214"/>
    <w:rsid w:val="00F131C3"/>
    <w:rsid w:val="00F17196"/>
    <w:rsid w:val="00F178DD"/>
    <w:rsid w:val="00F35457"/>
    <w:rsid w:val="00F56E6E"/>
    <w:rsid w:val="00F714E8"/>
    <w:rsid w:val="00F762DC"/>
    <w:rsid w:val="00F8224A"/>
    <w:rsid w:val="00FA1905"/>
    <w:rsid w:val="00FA6062"/>
    <w:rsid w:val="00FA7173"/>
    <w:rsid w:val="00FA7554"/>
    <w:rsid w:val="00FB2F88"/>
    <w:rsid w:val="00FB4726"/>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7487"/>
  <w15:chartTrackingRefBased/>
  <w15:docId w15:val="{9850A061-8407-A34B-A941-4E4722FC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766"/>
    <w:pPr>
      <w:tabs>
        <w:tab w:val="center" w:pos="4680"/>
        <w:tab w:val="right" w:pos="9360"/>
      </w:tabs>
    </w:pPr>
  </w:style>
  <w:style w:type="character" w:customStyle="1" w:styleId="HeaderChar">
    <w:name w:val="Header Char"/>
    <w:basedOn w:val="DefaultParagraphFont"/>
    <w:link w:val="Header"/>
    <w:uiPriority w:val="99"/>
    <w:rsid w:val="00D90766"/>
  </w:style>
  <w:style w:type="paragraph" w:styleId="Footer">
    <w:name w:val="footer"/>
    <w:basedOn w:val="Normal"/>
    <w:link w:val="FooterChar"/>
    <w:uiPriority w:val="99"/>
    <w:unhideWhenUsed/>
    <w:rsid w:val="00D90766"/>
    <w:pPr>
      <w:tabs>
        <w:tab w:val="center" w:pos="4680"/>
        <w:tab w:val="right" w:pos="9360"/>
      </w:tabs>
    </w:pPr>
  </w:style>
  <w:style w:type="character" w:customStyle="1" w:styleId="FooterChar">
    <w:name w:val="Footer Char"/>
    <w:basedOn w:val="DefaultParagraphFont"/>
    <w:link w:val="Footer"/>
    <w:uiPriority w:val="99"/>
    <w:rsid w:val="00D90766"/>
  </w:style>
  <w:style w:type="paragraph" w:styleId="BalloonText">
    <w:name w:val="Balloon Text"/>
    <w:basedOn w:val="Normal"/>
    <w:link w:val="BalloonTextChar"/>
    <w:uiPriority w:val="99"/>
    <w:semiHidden/>
    <w:unhideWhenUsed/>
    <w:rsid w:val="001D3B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3B50"/>
    <w:rPr>
      <w:rFonts w:ascii="Times New Roman" w:hAnsi="Times New Roman" w:cs="Times New Roman"/>
      <w:sz w:val="18"/>
      <w:szCs w:val="18"/>
    </w:rPr>
  </w:style>
  <w:style w:type="character" w:styleId="Hyperlink">
    <w:name w:val="Hyperlink"/>
    <w:basedOn w:val="DefaultParagraphFont"/>
    <w:uiPriority w:val="99"/>
    <w:unhideWhenUsed/>
    <w:rsid w:val="00EE2D27"/>
    <w:rPr>
      <w:color w:val="0563C1" w:themeColor="hyperlink"/>
      <w:u w:val="single"/>
    </w:rPr>
  </w:style>
  <w:style w:type="table" w:styleId="TableGrid">
    <w:name w:val="Table Grid"/>
    <w:basedOn w:val="TableNormal"/>
    <w:uiPriority w:val="59"/>
    <w:rsid w:val="00EE2D27"/>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45D"/>
    <w:pPr>
      <w:spacing w:after="160" w:line="259" w:lineRule="auto"/>
      <w:ind w:left="720"/>
      <w:contextualSpacing/>
    </w:pPr>
    <w:rPr>
      <w:rFonts w:ascii="Arial" w:hAnsi="Arial"/>
      <w:sz w:val="22"/>
      <w:szCs w:val="22"/>
      <w:lang w:val="en-GB"/>
    </w:rPr>
  </w:style>
  <w:style w:type="paragraph" w:customStyle="1" w:styleId="xmsonormal">
    <w:name w:val="x_msonormal"/>
    <w:basedOn w:val="Normal"/>
    <w:rsid w:val="0054745D"/>
    <w:rPr>
      <w:rFonts w:ascii="Calibri" w:hAnsi="Calibri" w:cs="Calibri"/>
      <w:sz w:val="22"/>
      <w:szCs w:val="22"/>
      <w:lang w:val="en-GB" w:eastAsia="en-GB"/>
    </w:rPr>
  </w:style>
  <w:style w:type="paragraph" w:customStyle="1" w:styleId="p1">
    <w:name w:val="p1"/>
    <w:basedOn w:val="Normal"/>
    <w:rsid w:val="00F762DC"/>
    <w:rPr>
      <w:rFonts w:ascii="Helvetica Neue" w:hAnsi="Helvetica Neue" w:cs="Calibri"/>
      <w:color w:val="616074"/>
      <w:sz w:val="20"/>
      <w:szCs w:val="20"/>
    </w:rPr>
  </w:style>
  <w:style w:type="paragraph" w:customStyle="1" w:styleId="Default">
    <w:name w:val="Default"/>
    <w:rsid w:val="000C75D7"/>
    <w:pPr>
      <w:autoSpaceDE w:val="0"/>
      <w:autoSpaceDN w:val="0"/>
      <w:adjustRightInd w:val="0"/>
    </w:pPr>
    <w:rPr>
      <w:rFonts w:ascii="Times New Roman" w:hAnsi="Times New Roman" w:cs="Times New Roman"/>
      <w:color w:val="000000"/>
    </w:rPr>
  </w:style>
  <w:style w:type="paragraph" w:styleId="NoSpacing">
    <w:name w:val="No Spacing"/>
    <w:uiPriority w:val="1"/>
    <w:qFormat/>
    <w:rsid w:val="000C75D7"/>
    <w:rPr>
      <w:sz w:val="22"/>
      <w:szCs w:val="22"/>
    </w:rPr>
  </w:style>
  <w:style w:type="paragraph" w:styleId="FootnoteText">
    <w:name w:val="footnote text"/>
    <w:basedOn w:val="Normal"/>
    <w:link w:val="FootnoteTextChar"/>
    <w:uiPriority w:val="99"/>
    <w:semiHidden/>
    <w:unhideWhenUsed/>
    <w:rsid w:val="000C75D7"/>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C75D7"/>
    <w:rPr>
      <w:rFonts w:ascii="Times New Roman" w:hAnsi="Times New Roman"/>
      <w:sz w:val="20"/>
      <w:szCs w:val="20"/>
    </w:rPr>
  </w:style>
  <w:style w:type="character" w:styleId="FootnoteReference">
    <w:name w:val="footnote reference"/>
    <w:basedOn w:val="DefaultParagraphFont"/>
    <w:uiPriority w:val="99"/>
    <w:semiHidden/>
    <w:unhideWhenUsed/>
    <w:rsid w:val="000C75D7"/>
    <w:rPr>
      <w:vertAlign w:val="superscript"/>
    </w:rPr>
  </w:style>
  <w:style w:type="paragraph" w:customStyle="1" w:styleId="signature-name">
    <w:name w:val="signature-name"/>
    <w:basedOn w:val="Normal"/>
    <w:rsid w:val="00F131C3"/>
    <w:pPr>
      <w:spacing w:before="100" w:beforeAutospacing="1" w:after="100" w:afterAutospacing="1"/>
    </w:pPr>
    <w:rPr>
      <w:rFonts w:ascii="Times New Roman" w:eastAsia="Times New Roman" w:hAnsi="Times New Roman" w:cs="Times New Roman"/>
    </w:rPr>
  </w:style>
  <w:style w:type="paragraph" w:customStyle="1" w:styleId="signature-title">
    <w:name w:val="signature-title"/>
    <w:basedOn w:val="Normal"/>
    <w:rsid w:val="00F131C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731C6"/>
    <w:rPr>
      <w:color w:val="605E5C"/>
      <w:shd w:val="clear" w:color="auto" w:fill="E1DFDD"/>
    </w:rPr>
  </w:style>
  <w:style w:type="paragraph" w:customStyle="1" w:styleId="Normal0">
    <w:name w:val="@Normal"/>
    <w:rsid w:val="00CE2F2B"/>
    <w:pPr>
      <w:suppressAutoHyphens/>
      <w:jc w:val="both"/>
    </w:pPr>
    <w:rPr>
      <w:rFonts w:ascii="Times New Roman" w:eastAsia="SimSun" w:hAnsi="Times New Roman" w:cs="Times New Roman"/>
      <w:szCs w:val="20"/>
    </w:rPr>
  </w:style>
  <w:style w:type="paragraph" w:customStyle="1" w:styleId="10sp05">
    <w:name w:val="_1.0sp 0.5&quot;"/>
    <w:basedOn w:val="Normal"/>
    <w:rsid w:val="00CE2F2B"/>
    <w:pPr>
      <w:suppressAutoHyphens/>
      <w:spacing w:after="240"/>
      <w:ind w:firstLine="720"/>
      <w:jc w:val="both"/>
    </w:pPr>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15894">
      <w:bodyDiv w:val="1"/>
      <w:marLeft w:val="0"/>
      <w:marRight w:val="0"/>
      <w:marTop w:val="0"/>
      <w:marBottom w:val="0"/>
      <w:divBdr>
        <w:top w:val="none" w:sz="0" w:space="0" w:color="auto"/>
        <w:left w:val="none" w:sz="0" w:space="0" w:color="auto"/>
        <w:bottom w:val="none" w:sz="0" w:space="0" w:color="auto"/>
        <w:right w:val="none" w:sz="0" w:space="0" w:color="auto"/>
      </w:divBdr>
    </w:div>
    <w:div w:id="21176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EBF5453F263C48AA42F8ECEB955082" ma:contentTypeVersion="16" ma:contentTypeDescription="Create a new document." ma:contentTypeScope="" ma:versionID="8d57ec3be2cd1d86fa2ed59db66a88a4">
  <xsd:schema xmlns:xsd="http://www.w3.org/2001/XMLSchema" xmlns:xs="http://www.w3.org/2001/XMLSchema" xmlns:p="http://schemas.microsoft.com/office/2006/metadata/properties" xmlns:ns2="dd27dabc-c2e1-488f-8db5-d194b0a98831" xmlns:ns3="3487c63b-803c-4903-a01f-1584ee3eedc7" targetNamespace="http://schemas.microsoft.com/office/2006/metadata/properties" ma:root="true" ma:fieldsID="150c604364ed9defc6334b690990a3ed" ns2:_="" ns3:_="">
    <xsd:import namespace="dd27dabc-c2e1-488f-8db5-d194b0a98831"/>
    <xsd:import namespace="3487c63b-803c-4903-a01f-1584ee3ee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7dabc-c2e1-488f-8db5-d194b0a98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bd7d7-54b6-4ac8-b2fc-2029a752a1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87c63b-803c-4903-a01f-1584ee3eed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2103f8-adf7-4187-9920-e72bc0bbbcde}" ma:internalName="TaxCatchAll" ma:showField="CatchAllData" ma:web="3487c63b-803c-4903-a01f-1584ee3ee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27dabc-c2e1-488f-8db5-d194b0a98831">
      <Terms xmlns="http://schemas.microsoft.com/office/infopath/2007/PartnerControls"/>
    </lcf76f155ced4ddcb4097134ff3c332f>
    <TaxCatchAll xmlns="3487c63b-803c-4903-a01f-1584ee3eedc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01C90-8790-4471-A464-158753CF0303}">
  <ds:schemaRefs>
    <ds:schemaRef ds:uri="http://schemas.microsoft.com/sharepoint/v3/contenttype/forms"/>
  </ds:schemaRefs>
</ds:datastoreItem>
</file>

<file path=customXml/itemProps2.xml><?xml version="1.0" encoding="utf-8"?>
<ds:datastoreItem xmlns:ds="http://schemas.openxmlformats.org/officeDocument/2006/customXml" ds:itemID="{9AFE9085-3F62-4811-81BB-009FDAB4A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7dabc-c2e1-488f-8db5-d194b0a98831"/>
    <ds:schemaRef ds:uri="3487c63b-803c-4903-a01f-1584ee3ee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744E-0C93-47A7-BB61-0A5885109CDF}">
  <ds:schemaRefs>
    <ds:schemaRef ds:uri="http://schemas.microsoft.com/office/2006/metadata/properties"/>
    <ds:schemaRef ds:uri="http://schemas.microsoft.com/office/infopath/2007/PartnerControls"/>
    <ds:schemaRef ds:uri="dd27dabc-c2e1-488f-8db5-d194b0a98831"/>
    <ds:schemaRef ds:uri="3487c63b-803c-4903-a01f-1584ee3eedc7"/>
  </ds:schemaRefs>
</ds:datastoreItem>
</file>

<file path=customXml/itemProps4.xml><?xml version="1.0" encoding="utf-8"?>
<ds:datastoreItem xmlns:ds="http://schemas.openxmlformats.org/officeDocument/2006/customXml" ds:itemID="{B6588F8F-1013-486C-A05E-E0C1E04C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Robyn Whitney</cp:lastModifiedBy>
  <cp:revision>10</cp:revision>
  <cp:lastPrinted>2023-04-10T18:36:00Z</cp:lastPrinted>
  <dcterms:created xsi:type="dcterms:W3CDTF">2023-04-10T18:35:00Z</dcterms:created>
  <dcterms:modified xsi:type="dcterms:W3CDTF">2023-04-10T18:43:00Z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0x0101002BEBF5453F263C48AA42F8ECEB955082</vt:lpwstr>
  </property>
  <property fmtid="{D5CDD505-2E9C-101B-9397-08002B2CF9AE}" pid="3" name="Order">
    <vt:r8>100</vt:r8>
  </property>
  <property fmtid="{D5CDD505-2E9C-101B-9397-08002B2CF9AE}" pid="4" name="MediaServiceImageTags">
    <vt:lpwstr/>
  </property>
</Properties>
</file>